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山东省技术创新中心（新建类）建设方案编写提纲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一、牵头</w:t>
      </w:r>
      <w:r>
        <w:rPr>
          <w:rFonts w:ascii="仿宋_GB2312" w:eastAsia="仿宋_GB2312"/>
          <w:sz w:val="32"/>
          <w:szCs w:val="32"/>
        </w:rPr>
        <w:t>建设</w:t>
      </w:r>
      <w:r>
        <w:rPr>
          <w:rFonts w:hint="eastAsia" w:ascii="仿宋_GB2312" w:eastAsia="仿宋_GB2312"/>
          <w:sz w:val="32"/>
          <w:szCs w:val="32"/>
        </w:rPr>
        <w:t>单位现有基础和条件（包括单位基本情况、科研队伍情况、基础设施与仪器设备、科研经费投入情况、开展研发活动情况及成效等）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国内外技术发展水平、趋势及省内发展需求（重点说明本领域国内外技术发展水平和趋势，省内行业、产业发展需求等）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组建中心的背景和意义（重点说明组建中心的必要性、可行性及对行业进步的推动作用等）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四、中心</w:t>
      </w:r>
      <w:r>
        <w:rPr>
          <w:rFonts w:ascii="仿宋_GB2312" w:eastAsia="仿宋_GB2312"/>
          <w:sz w:val="32"/>
          <w:szCs w:val="32"/>
        </w:rPr>
        <w:t>建设的</w:t>
      </w:r>
      <w:r>
        <w:rPr>
          <w:rFonts w:hint="eastAsia" w:ascii="仿宋_GB2312" w:eastAsia="仿宋_GB2312"/>
          <w:sz w:val="32"/>
          <w:szCs w:val="32"/>
        </w:rPr>
        <w:t>总体思路（包括指导思想、战略定位、建设原则等）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五、建设内容（包括总体目标和主要任务、近三年的目标和任务等）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六、管理运行机制（包括</w:t>
      </w:r>
      <w:r>
        <w:rPr>
          <w:rFonts w:ascii="仿宋_GB2312" w:eastAsia="仿宋_GB2312"/>
          <w:sz w:val="32"/>
          <w:szCs w:val="32"/>
        </w:rPr>
        <w:t>组织架构、</w:t>
      </w:r>
      <w:r>
        <w:rPr>
          <w:rFonts w:hint="eastAsia" w:ascii="仿宋_GB2312" w:eastAsia="仿宋_GB2312"/>
          <w:sz w:val="32"/>
          <w:szCs w:val="32"/>
        </w:rPr>
        <w:t>运行机制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管理制度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人员配备计划等）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七、</w:t>
      </w:r>
      <w:r>
        <w:rPr>
          <w:rFonts w:ascii="仿宋_GB2312" w:eastAsia="仿宋_GB2312"/>
          <w:sz w:val="32"/>
          <w:szCs w:val="32"/>
        </w:rPr>
        <w:t>中心</w:t>
      </w:r>
      <w:r>
        <w:rPr>
          <w:rFonts w:hint="eastAsia" w:ascii="仿宋_GB2312" w:eastAsia="仿宋_GB2312"/>
          <w:sz w:val="32"/>
          <w:szCs w:val="32"/>
        </w:rPr>
        <w:t>未来三年</w:t>
      </w:r>
      <w:r>
        <w:rPr>
          <w:rFonts w:ascii="仿宋_GB2312" w:eastAsia="仿宋_GB2312"/>
          <w:sz w:val="32"/>
          <w:szCs w:val="32"/>
        </w:rPr>
        <w:t>的</w:t>
      </w:r>
      <w:r>
        <w:rPr>
          <w:rFonts w:hint="eastAsia" w:ascii="仿宋_GB2312" w:eastAsia="仿宋_GB2312"/>
          <w:sz w:val="32"/>
          <w:szCs w:val="32"/>
        </w:rPr>
        <w:t>经费预算情况</w:t>
      </w:r>
    </w:p>
    <w:p>
      <w:r>
        <w:rPr>
          <w:rFonts w:hint="eastAsia" w:ascii="仿宋_GB2312" w:eastAsia="仿宋_GB2312"/>
          <w:sz w:val="32"/>
          <w:szCs w:val="32"/>
        </w:rPr>
        <w:t xml:space="preserve">    相关证明</w:t>
      </w:r>
      <w:r>
        <w:rPr>
          <w:rFonts w:ascii="仿宋_GB2312" w:eastAsia="仿宋_GB2312"/>
          <w:sz w:val="32"/>
          <w:szCs w:val="32"/>
        </w:rPr>
        <w:t>材料</w:t>
      </w:r>
      <w:r>
        <w:rPr>
          <w:rFonts w:hint="eastAsia" w:ascii="仿宋_GB2312" w:eastAsia="仿宋_GB2312"/>
          <w:sz w:val="32"/>
          <w:szCs w:val="32"/>
        </w:rPr>
        <w:t>可作为</w:t>
      </w:r>
      <w:r>
        <w:rPr>
          <w:rFonts w:ascii="仿宋_GB2312" w:eastAsia="仿宋_GB2312"/>
          <w:sz w:val="32"/>
          <w:szCs w:val="32"/>
        </w:rPr>
        <w:t>附件。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A4CBC"/>
    <w:rsid w:val="6C5A4CB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0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